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6D" w:rsidRDefault="00C6452F" w:rsidP="00826D6D">
      <w:pPr>
        <w:spacing w:after="0"/>
        <w:rPr>
          <w:b/>
          <w:bCs/>
          <w:sz w:val="24"/>
          <w:szCs w:val="24"/>
        </w:rPr>
      </w:pPr>
      <w:r w:rsidRPr="00C6452F">
        <w:rPr>
          <w:rFonts w:cs="Segoe UI"/>
          <w:b/>
          <w:bCs/>
          <w:sz w:val="24"/>
          <w:szCs w:val="24"/>
        </w:rPr>
        <w:t>For Decision</w:t>
      </w:r>
      <w:r w:rsidRPr="00C6452F">
        <w:rPr>
          <w:b/>
          <w:bCs/>
          <w:sz w:val="24"/>
          <w:szCs w:val="24"/>
        </w:rPr>
        <w:t>: Next Steps, Frome Police Station</w:t>
      </w:r>
    </w:p>
    <w:p w:rsidR="00C6452F" w:rsidRDefault="00C6452F" w:rsidP="00826D6D">
      <w:pPr>
        <w:spacing w:after="0"/>
        <w:rPr>
          <w:rFonts w:eastAsia="Times New Roman" w:cs="Segoe UI"/>
          <w:sz w:val="24"/>
          <w:szCs w:val="24"/>
        </w:rPr>
      </w:pPr>
      <w:r>
        <w:rPr>
          <w:rFonts w:eastAsia="Times New Roman" w:cs="Segoe UI"/>
          <w:sz w:val="24"/>
          <w:szCs w:val="24"/>
        </w:rPr>
        <w:t>Author:  Planning &amp; Development Officer</w:t>
      </w:r>
    </w:p>
    <w:p w:rsidR="00FA308C" w:rsidRDefault="00FA308C" w:rsidP="00826D6D">
      <w:pPr>
        <w:rPr>
          <w:rFonts w:eastAsia="Times New Roman" w:cs="Segoe UI"/>
          <w:i/>
          <w:iCs/>
          <w:sz w:val="24"/>
          <w:szCs w:val="24"/>
        </w:rPr>
      </w:pPr>
    </w:p>
    <w:p w:rsidR="00826D6D" w:rsidRDefault="00C6452F" w:rsidP="00826D6D">
      <w:pPr>
        <w:rPr>
          <w:rFonts w:eastAsia="Times New Roman" w:cs="Segoe UI"/>
          <w:sz w:val="24"/>
          <w:szCs w:val="24"/>
        </w:rPr>
      </w:pPr>
      <w:r>
        <w:rPr>
          <w:rFonts w:eastAsia="Times New Roman" w:cs="Segoe UI"/>
          <w:i/>
          <w:iCs/>
          <w:sz w:val="24"/>
          <w:szCs w:val="24"/>
        </w:rPr>
        <w:t>Summary</w:t>
      </w:r>
      <w:r>
        <w:rPr>
          <w:rFonts w:eastAsia="Times New Roman" w:cs="Segoe UI"/>
          <w:sz w:val="24"/>
          <w:szCs w:val="24"/>
        </w:rPr>
        <w:t> </w:t>
      </w:r>
    </w:p>
    <w:p w:rsidR="00C6452F" w:rsidRDefault="00C6452F" w:rsidP="00826D6D">
      <w:pPr>
        <w:rPr>
          <w:rFonts w:eastAsia="Times New Roman" w:cs="Segoe UI"/>
          <w:sz w:val="24"/>
          <w:szCs w:val="24"/>
        </w:rPr>
      </w:pPr>
      <w:r>
        <w:rPr>
          <w:rFonts w:eastAsia="Times New Roman" w:cs="Segoe UI"/>
          <w:sz w:val="24"/>
          <w:szCs w:val="24"/>
        </w:rPr>
        <w:t xml:space="preserve">This report updates </w:t>
      </w:r>
      <w:r w:rsidR="00203BF8">
        <w:rPr>
          <w:rFonts w:eastAsia="Times New Roman" w:cs="Segoe UI"/>
          <w:sz w:val="24"/>
          <w:szCs w:val="24"/>
        </w:rPr>
        <w:t>Councillors</w:t>
      </w:r>
      <w:r>
        <w:rPr>
          <w:rFonts w:eastAsia="Times New Roman" w:cs="Segoe UI"/>
          <w:sz w:val="24"/>
          <w:szCs w:val="24"/>
        </w:rPr>
        <w:t xml:space="preserve"> on the actions taken by FTC following the refusal of the planning application and sets out the options for </w:t>
      </w:r>
      <w:r w:rsidR="00960FE9">
        <w:rPr>
          <w:rFonts w:eastAsia="Times New Roman" w:cs="Segoe UI"/>
          <w:sz w:val="24"/>
          <w:szCs w:val="24"/>
        </w:rPr>
        <w:t>w</w:t>
      </w:r>
      <w:r>
        <w:rPr>
          <w:rFonts w:eastAsia="Times New Roman" w:cs="Segoe UI"/>
          <w:sz w:val="24"/>
          <w:szCs w:val="24"/>
        </w:rPr>
        <w:t>hat to do next.</w:t>
      </w:r>
      <w:r w:rsidR="00203BF8">
        <w:rPr>
          <w:rFonts w:eastAsia="Times New Roman" w:cs="Segoe UI"/>
          <w:sz w:val="24"/>
          <w:szCs w:val="24"/>
        </w:rPr>
        <w:t xml:space="preserve"> In order to make sure the refusal is not reversed on appeal, we also need to consider viable alternatives to the scheme. </w:t>
      </w:r>
    </w:p>
    <w:p w:rsidR="00C6452F" w:rsidRDefault="00C6452F" w:rsidP="00826D6D">
      <w:pPr>
        <w:rPr>
          <w:rFonts w:eastAsia="Times New Roman" w:cs="Segoe UI"/>
          <w:sz w:val="24"/>
          <w:szCs w:val="24"/>
        </w:rPr>
      </w:pPr>
      <w:r>
        <w:rPr>
          <w:rFonts w:eastAsia="Times New Roman" w:cs="Segoe UI"/>
          <w:i/>
          <w:iCs/>
          <w:sz w:val="24"/>
          <w:szCs w:val="24"/>
        </w:rPr>
        <w:t>Background</w:t>
      </w:r>
      <w:r>
        <w:rPr>
          <w:rFonts w:eastAsia="Times New Roman" w:cs="Segoe UI"/>
          <w:sz w:val="24"/>
          <w:szCs w:val="24"/>
        </w:rPr>
        <w:t> </w:t>
      </w:r>
    </w:p>
    <w:p w:rsidR="001357EF" w:rsidRDefault="00C6452F" w:rsidP="00C6452F">
      <w:pPr>
        <w:rPr>
          <w:rFonts w:eastAsia="Times New Roman" w:cs="Segoe UI"/>
          <w:sz w:val="24"/>
          <w:szCs w:val="24"/>
        </w:rPr>
      </w:pPr>
      <w:r>
        <w:rPr>
          <w:rFonts w:eastAsia="Times New Roman" w:cs="Segoe UI"/>
          <w:sz w:val="24"/>
          <w:szCs w:val="24"/>
        </w:rPr>
        <w:t>On 7</w:t>
      </w:r>
      <w:r w:rsidR="00203BF8">
        <w:rPr>
          <w:rFonts w:eastAsia="Times New Roman" w:cs="Segoe UI"/>
          <w:sz w:val="24"/>
          <w:szCs w:val="24"/>
        </w:rPr>
        <w:t xml:space="preserve"> </w:t>
      </w:r>
      <w:r w:rsidR="00826D6D">
        <w:rPr>
          <w:rFonts w:eastAsia="Times New Roman" w:cs="Segoe UI"/>
          <w:sz w:val="24"/>
          <w:szCs w:val="24"/>
        </w:rPr>
        <w:t xml:space="preserve">April </w:t>
      </w:r>
      <w:r>
        <w:rPr>
          <w:rFonts w:eastAsia="Times New Roman" w:cs="Segoe UI"/>
          <w:sz w:val="24"/>
          <w:szCs w:val="24"/>
        </w:rPr>
        <w:t>2015 </w:t>
      </w:r>
      <w:r w:rsidR="00826D6D">
        <w:rPr>
          <w:rFonts w:eastAsia="Times New Roman" w:cs="Segoe UI"/>
          <w:sz w:val="24"/>
          <w:szCs w:val="24"/>
        </w:rPr>
        <w:t xml:space="preserve">Mendip District Council refused the planning application by Newlands Homes for the erection of 61, </w:t>
      </w:r>
      <w:r w:rsidR="00826D6D" w:rsidRPr="00826D6D">
        <w:rPr>
          <w:rFonts w:eastAsia="Times New Roman" w:cs="Segoe UI"/>
          <w:sz w:val="24"/>
          <w:szCs w:val="24"/>
        </w:rPr>
        <w:t>one, two, three and four bedroom dwellings</w:t>
      </w:r>
      <w:r w:rsidR="00826D6D">
        <w:rPr>
          <w:rFonts w:eastAsia="Times New Roman" w:cs="Segoe UI"/>
          <w:sz w:val="24"/>
          <w:szCs w:val="24"/>
        </w:rPr>
        <w:t xml:space="preserve"> with a</w:t>
      </w:r>
      <w:r w:rsidR="00826D6D" w:rsidRPr="00826D6D">
        <w:rPr>
          <w:rFonts w:eastAsia="Times New Roman" w:cs="Segoe UI"/>
          <w:sz w:val="24"/>
          <w:szCs w:val="24"/>
        </w:rPr>
        <w:t>ccess from Oakfield Road and associated works</w:t>
      </w:r>
      <w:r w:rsidR="00826D6D">
        <w:rPr>
          <w:rFonts w:eastAsia="Times New Roman" w:cs="Segoe UI"/>
          <w:sz w:val="24"/>
          <w:szCs w:val="24"/>
        </w:rPr>
        <w:t xml:space="preserve">, on the Police Station Site at Oakfield Road. </w:t>
      </w:r>
      <w:r w:rsidR="00203BF8">
        <w:rPr>
          <w:rFonts w:eastAsia="Times New Roman" w:cs="Segoe UI"/>
          <w:sz w:val="24"/>
          <w:szCs w:val="24"/>
        </w:rPr>
        <w:t>T</w:t>
      </w:r>
      <w:r w:rsidR="00077001">
        <w:rPr>
          <w:rFonts w:eastAsia="Times New Roman" w:cs="Segoe UI"/>
          <w:sz w:val="24"/>
          <w:szCs w:val="24"/>
        </w:rPr>
        <w:t>he town council objected to the proposal for the following reasons:-</w:t>
      </w:r>
    </w:p>
    <w:p w:rsidR="00077001" w:rsidRDefault="00077001" w:rsidP="004B472B">
      <w:pPr>
        <w:pStyle w:val="ListParagraph"/>
        <w:numPr>
          <w:ilvl w:val="0"/>
          <w:numId w:val="10"/>
        </w:numPr>
        <w:spacing w:after="0"/>
        <w:rPr>
          <w:rFonts w:cs="Segoe UI"/>
          <w:sz w:val="24"/>
          <w:szCs w:val="24"/>
        </w:rPr>
      </w:pPr>
      <w:r w:rsidRPr="00BD1E3B">
        <w:rPr>
          <w:rFonts w:cs="Segoe UI"/>
          <w:sz w:val="24"/>
          <w:szCs w:val="24"/>
        </w:rPr>
        <w:t>Lack of affordable housing</w:t>
      </w:r>
    </w:p>
    <w:p w:rsidR="004B472B" w:rsidRDefault="004B472B" w:rsidP="004B472B">
      <w:pPr>
        <w:pStyle w:val="ListParagraph"/>
        <w:numPr>
          <w:ilvl w:val="0"/>
          <w:numId w:val="10"/>
        </w:numPr>
        <w:spacing w:after="0"/>
        <w:rPr>
          <w:rFonts w:cs="Segoe UI"/>
          <w:sz w:val="24"/>
          <w:szCs w:val="24"/>
        </w:rPr>
      </w:pPr>
      <w:r>
        <w:rPr>
          <w:rFonts w:cs="Segoe UI"/>
          <w:sz w:val="24"/>
          <w:szCs w:val="24"/>
        </w:rPr>
        <w:t>Traffic impacts to the site and surrounding area</w:t>
      </w:r>
    </w:p>
    <w:p w:rsidR="004B472B" w:rsidRDefault="004B472B" w:rsidP="004B472B">
      <w:pPr>
        <w:pStyle w:val="ListParagraph"/>
        <w:numPr>
          <w:ilvl w:val="0"/>
          <w:numId w:val="10"/>
        </w:numPr>
        <w:spacing w:after="0"/>
        <w:rPr>
          <w:rFonts w:cs="Segoe UI"/>
          <w:sz w:val="24"/>
          <w:szCs w:val="24"/>
        </w:rPr>
      </w:pPr>
      <w:r>
        <w:rPr>
          <w:rFonts w:cs="Segoe UI"/>
          <w:sz w:val="24"/>
          <w:szCs w:val="24"/>
        </w:rPr>
        <w:t>That the transport assessment was not accurate</w:t>
      </w:r>
    </w:p>
    <w:p w:rsidR="004B472B" w:rsidRDefault="004B472B" w:rsidP="004B472B">
      <w:pPr>
        <w:pStyle w:val="ListParagraph"/>
        <w:numPr>
          <w:ilvl w:val="0"/>
          <w:numId w:val="10"/>
        </w:numPr>
        <w:spacing w:after="0"/>
        <w:rPr>
          <w:rFonts w:cs="Segoe UI"/>
          <w:sz w:val="24"/>
          <w:szCs w:val="24"/>
        </w:rPr>
      </w:pPr>
      <w:r>
        <w:rPr>
          <w:rFonts w:cs="Segoe UI"/>
          <w:sz w:val="24"/>
          <w:szCs w:val="24"/>
        </w:rPr>
        <w:t>Detrimental effect that the design will have on the adjacent Conservation Area</w:t>
      </w:r>
    </w:p>
    <w:p w:rsidR="004B472B" w:rsidRDefault="004B472B" w:rsidP="004B472B">
      <w:pPr>
        <w:pStyle w:val="ListParagraph"/>
        <w:numPr>
          <w:ilvl w:val="0"/>
          <w:numId w:val="10"/>
        </w:numPr>
        <w:spacing w:after="0"/>
        <w:rPr>
          <w:rFonts w:cs="Segoe UI"/>
          <w:sz w:val="24"/>
          <w:szCs w:val="24"/>
        </w:rPr>
      </w:pPr>
      <w:r>
        <w:rPr>
          <w:rFonts w:cs="Segoe UI"/>
          <w:sz w:val="24"/>
          <w:szCs w:val="24"/>
        </w:rPr>
        <w:t>The density of the housing is too high</w:t>
      </w:r>
    </w:p>
    <w:p w:rsidR="004B472B" w:rsidRPr="00BD1E3B" w:rsidRDefault="004B472B" w:rsidP="004B472B">
      <w:pPr>
        <w:pStyle w:val="ListParagraph"/>
        <w:rPr>
          <w:rFonts w:cs="Segoe UI"/>
          <w:sz w:val="24"/>
          <w:szCs w:val="24"/>
        </w:rPr>
      </w:pPr>
    </w:p>
    <w:p w:rsidR="00826D6D" w:rsidRDefault="00826D6D" w:rsidP="00C6452F">
      <w:pPr>
        <w:rPr>
          <w:rFonts w:eastAsia="Times New Roman" w:cs="Segoe UI"/>
          <w:sz w:val="24"/>
          <w:szCs w:val="24"/>
        </w:rPr>
      </w:pPr>
      <w:r>
        <w:rPr>
          <w:rFonts w:eastAsia="Times New Roman" w:cs="Segoe UI"/>
          <w:sz w:val="24"/>
          <w:szCs w:val="24"/>
        </w:rPr>
        <w:t xml:space="preserve">The application was recommended for approval by the Planning Officer but the recommendation was overturned by the Mendip Planning Board who refused the application. </w:t>
      </w:r>
      <w:r w:rsidR="00BB0660">
        <w:rPr>
          <w:rFonts w:eastAsia="Times New Roman" w:cs="Segoe UI"/>
          <w:sz w:val="24"/>
          <w:szCs w:val="24"/>
        </w:rPr>
        <w:t xml:space="preserve">This was </w:t>
      </w:r>
      <w:r w:rsidR="0044095F">
        <w:rPr>
          <w:rFonts w:eastAsia="Times New Roman" w:cs="Segoe UI"/>
          <w:sz w:val="24"/>
          <w:szCs w:val="24"/>
        </w:rPr>
        <w:t>in part</w:t>
      </w:r>
      <w:r w:rsidR="00BB0660">
        <w:rPr>
          <w:rFonts w:eastAsia="Times New Roman" w:cs="Segoe UI"/>
          <w:sz w:val="24"/>
          <w:szCs w:val="24"/>
        </w:rPr>
        <w:t xml:space="preserve"> due the campaign from the local residents, the town council and the ward councillors.</w:t>
      </w:r>
    </w:p>
    <w:p w:rsidR="0044095F" w:rsidRDefault="00111F4D" w:rsidP="00C6452F">
      <w:pPr>
        <w:rPr>
          <w:rFonts w:eastAsia="Times New Roman" w:cs="Segoe UI"/>
          <w:i/>
          <w:sz w:val="24"/>
          <w:szCs w:val="24"/>
        </w:rPr>
      </w:pPr>
      <w:r w:rsidRPr="00111F4D">
        <w:rPr>
          <w:rFonts w:eastAsia="Times New Roman" w:cs="Segoe UI"/>
          <w:i/>
          <w:sz w:val="24"/>
          <w:szCs w:val="24"/>
        </w:rPr>
        <w:t>Actions so far</w:t>
      </w:r>
    </w:p>
    <w:p w:rsidR="00111F4D" w:rsidRDefault="00111F4D" w:rsidP="00C6452F">
      <w:pPr>
        <w:rPr>
          <w:rFonts w:eastAsia="Times New Roman" w:cs="Segoe UI"/>
          <w:sz w:val="24"/>
          <w:szCs w:val="24"/>
        </w:rPr>
      </w:pPr>
      <w:r>
        <w:rPr>
          <w:rFonts w:eastAsia="Times New Roman" w:cs="Segoe UI"/>
          <w:sz w:val="24"/>
          <w:szCs w:val="24"/>
        </w:rPr>
        <w:t>Following the issue of the refusal notice, FTC sought the advice of Bill Lowe, Chartered</w:t>
      </w:r>
      <w:r w:rsidR="008A1058">
        <w:rPr>
          <w:rFonts w:eastAsia="Times New Roman" w:cs="Segoe UI"/>
          <w:sz w:val="24"/>
          <w:szCs w:val="24"/>
        </w:rPr>
        <w:t xml:space="preserve"> Town Planner, as we wanted some reassurance that the refusal reasons were defendable at appeal</w:t>
      </w:r>
      <w:r w:rsidR="004B472B">
        <w:rPr>
          <w:rFonts w:eastAsia="Times New Roman" w:cs="Segoe UI"/>
          <w:sz w:val="24"/>
          <w:szCs w:val="24"/>
        </w:rPr>
        <w:t xml:space="preserve"> </w:t>
      </w:r>
      <w:r w:rsidR="008A1058">
        <w:rPr>
          <w:rFonts w:eastAsia="Times New Roman" w:cs="Segoe UI"/>
          <w:sz w:val="24"/>
          <w:szCs w:val="24"/>
        </w:rPr>
        <w:t xml:space="preserve">and </w:t>
      </w:r>
      <w:r w:rsidR="00960FE9">
        <w:rPr>
          <w:rFonts w:eastAsia="Times New Roman" w:cs="Segoe UI"/>
          <w:sz w:val="24"/>
          <w:szCs w:val="24"/>
        </w:rPr>
        <w:t xml:space="preserve">advice on </w:t>
      </w:r>
      <w:r w:rsidR="008A1058">
        <w:rPr>
          <w:rFonts w:eastAsia="Times New Roman" w:cs="Segoe UI"/>
          <w:sz w:val="24"/>
          <w:szCs w:val="24"/>
        </w:rPr>
        <w:t xml:space="preserve">what the </w:t>
      </w:r>
      <w:r w:rsidR="004B472B">
        <w:rPr>
          <w:rFonts w:eastAsia="Times New Roman" w:cs="Segoe UI"/>
          <w:sz w:val="24"/>
          <w:szCs w:val="24"/>
        </w:rPr>
        <w:t>T</w:t>
      </w:r>
      <w:r w:rsidR="008A1058">
        <w:rPr>
          <w:rFonts w:eastAsia="Times New Roman" w:cs="Segoe UI"/>
          <w:sz w:val="24"/>
          <w:szCs w:val="24"/>
        </w:rPr>
        <w:t xml:space="preserve">own </w:t>
      </w:r>
      <w:r w:rsidR="004B472B">
        <w:rPr>
          <w:rFonts w:eastAsia="Times New Roman" w:cs="Segoe UI"/>
          <w:sz w:val="24"/>
          <w:szCs w:val="24"/>
        </w:rPr>
        <w:t>C</w:t>
      </w:r>
      <w:r w:rsidR="008A1058">
        <w:rPr>
          <w:rFonts w:eastAsia="Times New Roman" w:cs="Segoe UI"/>
          <w:sz w:val="24"/>
          <w:szCs w:val="24"/>
        </w:rPr>
        <w:t xml:space="preserve">ouncil should do to </w:t>
      </w:r>
      <w:r w:rsidR="00960FE9">
        <w:rPr>
          <w:rFonts w:eastAsia="Times New Roman" w:cs="Segoe UI"/>
          <w:sz w:val="24"/>
          <w:szCs w:val="24"/>
        </w:rPr>
        <w:t>strengthen that defence.</w:t>
      </w:r>
    </w:p>
    <w:p w:rsidR="00960FE9" w:rsidRDefault="00960FE9" w:rsidP="00C6452F">
      <w:pPr>
        <w:rPr>
          <w:rFonts w:eastAsia="Times New Roman" w:cs="Segoe UI"/>
          <w:sz w:val="24"/>
          <w:szCs w:val="24"/>
        </w:rPr>
      </w:pPr>
      <w:r>
        <w:rPr>
          <w:rFonts w:eastAsia="Times New Roman" w:cs="Segoe UI"/>
          <w:sz w:val="24"/>
          <w:szCs w:val="24"/>
        </w:rPr>
        <w:t>Bill Lowe advised that the reasons for refusal are robust and what further steps the town council should take</w:t>
      </w:r>
      <w:r w:rsidR="00C80A53">
        <w:rPr>
          <w:rFonts w:eastAsia="Times New Roman" w:cs="Segoe UI"/>
          <w:sz w:val="24"/>
          <w:szCs w:val="24"/>
        </w:rPr>
        <w:t xml:space="preserve"> in response to an appeal being lodged</w:t>
      </w:r>
      <w:r>
        <w:rPr>
          <w:rFonts w:eastAsia="Times New Roman" w:cs="Segoe UI"/>
          <w:sz w:val="24"/>
          <w:szCs w:val="24"/>
        </w:rPr>
        <w:t xml:space="preserve"> are listed below.</w:t>
      </w:r>
    </w:p>
    <w:p w:rsidR="00960FE9" w:rsidRDefault="00960FE9" w:rsidP="00960FE9">
      <w:pPr>
        <w:pStyle w:val="ListParagraph"/>
        <w:numPr>
          <w:ilvl w:val="0"/>
          <w:numId w:val="3"/>
        </w:numPr>
        <w:rPr>
          <w:rFonts w:cs="Segoe UI"/>
          <w:sz w:val="24"/>
          <w:szCs w:val="24"/>
        </w:rPr>
      </w:pPr>
      <w:r>
        <w:rPr>
          <w:rFonts w:cs="Segoe UI"/>
          <w:sz w:val="24"/>
          <w:szCs w:val="24"/>
        </w:rPr>
        <w:t xml:space="preserve">Submit a Freedom of information request to MDC </w:t>
      </w:r>
      <w:r w:rsidR="009C04C0">
        <w:rPr>
          <w:rFonts w:cs="Segoe UI"/>
          <w:sz w:val="24"/>
          <w:szCs w:val="24"/>
        </w:rPr>
        <w:t xml:space="preserve">for a copy of the MDC viability assessment. The reason for this request is to so that we can better understand MDC’s reasons for </w:t>
      </w:r>
      <w:r w:rsidR="00C80A53">
        <w:rPr>
          <w:rFonts w:cs="Segoe UI"/>
          <w:sz w:val="24"/>
          <w:szCs w:val="24"/>
        </w:rPr>
        <w:t>accepting a reduced amount of affordable housing.</w:t>
      </w:r>
    </w:p>
    <w:p w:rsidR="00C80A53" w:rsidRDefault="00770878" w:rsidP="00960FE9">
      <w:pPr>
        <w:pStyle w:val="ListParagraph"/>
        <w:numPr>
          <w:ilvl w:val="0"/>
          <w:numId w:val="3"/>
        </w:numPr>
        <w:rPr>
          <w:rFonts w:cs="Segoe UI"/>
          <w:sz w:val="24"/>
          <w:szCs w:val="24"/>
        </w:rPr>
      </w:pPr>
      <w:r>
        <w:rPr>
          <w:rFonts w:cs="Segoe UI"/>
          <w:sz w:val="24"/>
          <w:szCs w:val="24"/>
        </w:rPr>
        <w:t>T</w:t>
      </w:r>
      <w:r w:rsidR="007461FF">
        <w:rPr>
          <w:rFonts w:cs="Segoe UI"/>
          <w:sz w:val="24"/>
          <w:szCs w:val="24"/>
        </w:rPr>
        <w:t>o request that</w:t>
      </w:r>
      <w:r>
        <w:rPr>
          <w:rFonts w:cs="Segoe UI"/>
          <w:sz w:val="24"/>
          <w:szCs w:val="24"/>
        </w:rPr>
        <w:t xml:space="preserve"> </w:t>
      </w:r>
      <w:r w:rsidR="00BF5FFE">
        <w:rPr>
          <w:rFonts w:cs="Segoe UI"/>
          <w:sz w:val="24"/>
          <w:szCs w:val="24"/>
        </w:rPr>
        <w:t>Frome</w:t>
      </w:r>
      <w:r>
        <w:rPr>
          <w:rFonts w:cs="Segoe UI"/>
          <w:sz w:val="24"/>
          <w:szCs w:val="24"/>
        </w:rPr>
        <w:t xml:space="preserve"> </w:t>
      </w:r>
      <w:r w:rsidR="007461FF">
        <w:rPr>
          <w:rFonts w:cs="Segoe UI"/>
          <w:sz w:val="24"/>
          <w:szCs w:val="24"/>
        </w:rPr>
        <w:t>C</w:t>
      </w:r>
      <w:r>
        <w:rPr>
          <w:rFonts w:cs="Segoe UI"/>
          <w:sz w:val="24"/>
          <w:szCs w:val="24"/>
        </w:rPr>
        <w:t>ivic</w:t>
      </w:r>
      <w:r w:rsidR="007461FF">
        <w:rPr>
          <w:rFonts w:cs="Segoe UI"/>
          <w:sz w:val="24"/>
          <w:szCs w:val="24"/>
        </w:rPr>
        <w:t xml:space="preserve"> S</w:t>
      </w:r>
      <w:r>
        <w:rPr>
          <w:rFonts w:cs="Segoe UI"/>
          <w:sz w:val="24"/>
          <w:szCs w:val="24"/>
        </w:rPr>
        <w:t>ociety represent</w:t>
      </w:r>
      <w:r w:rsidR="007461FF">
        <w:rPr>
          <w:rFonts w:cs="Segoe UI"/>
          <w:sz w:val="24"/>
          <w:szCs w:val="24"/>
        </w:rPr>
        <w:t>s</w:t>
      </w:r>
      <w:r>
        <w:rPr>
          <w:rFonts w:cs="Segoe UI"/>
          <w:sz w:val="24"/>
          <w:szCs w:val="24"/>
        </w:rPr>
        <w:t xml:space="preserve"> the</w:t>
      </w:r>
      <w:r w:rsidR="007E5E68">
        <w:rPr>
          <w:rFonts w:cs="Segoe UI"/>
          <w:sz w:val="24"/>
          <w:szCs w:val="24"/>
        </w:rPr>
        <w:t xml:space="preserve"> </w:t>
      </w:r>
      <w:r w:rsidR="00E80F1C">
        <w:rPr>
          <w:rFonts w:cs="Segoe UI"/>
          <w:sz w:val="24"/>
          <w:szCs w:val="24"/>
        </w:rPr>
        <w:t>T</w:t>
      </w:r>
      <w:r w:rsidR="007E5E68">
        <w:rPr>
          <w:rFonts w:cs="Segoe UI"/>
          <w:sz w:val="24"/>
          <w:szCs w:val="24"/>
        </w:rPr>
        <w:t xml:space="preserve">own </w:t>
      </w:r>
      <w:r w:rsidR="00E80F1C">
        <w:rPr>
          <w:rFonts w:cs="Segoe UI"/>
          <w:sz w:val="24"/>
          <w:szCs w:val="24"/>
        </w:rPr>
        <w:t>C</w:t>
      </w:r>
      <w:r>
        <w:rPr>
          <w:rFonts w:cs="Segoe UI"/>
          <w:sz w:val="24"/>
          <w:szCs w:val="24"/>
        </w:rPr>
        <w:t>ouncil as a witness on grounds of design</w:t>
      </w:r>
      <w:r w:rsidR="007461FF">
        <w:rPr>
          <w:rFonts w:cs="Segoe UI"/>
          <w:sz w:val="24"/>
          <w:szCs w:val="24"/>
        </w:rPr>
        <w:t xml:space="preserve"> and the resulting site density</w:t>
      </w:r>
    </w:p>
    <w:p w:rsidR="00770878" w:rsidRDefault="00AD5A6C" w:rsidP="00960FE9">
      <w:pPr>
        <w:pStyle w:val="ListParagraph"/>
        <w:numPr>
          <w:ilvl w:val="0"/>
          <w:numId w:val="3"/>
        </w:numPr>
        <w:rPr>
          <w:rFonts w:cs="Segoe UI"/>
          <w:sz w:val="24"/>
          <w:szCs w:val="24"/>
        </w:rPr>
      </w:pPr>
      <w:r>
        <w:rPr>
          <w:rFonts w:cs="Segoe UI"/>
          <w:sz w:val="24"/>
          <w:szCs w:val="24"/>
        </w:rPr>
        <w:t xml:space="preserve">Vacant Buildings Credit – Reading </w:t>
      </w:r>
      <w:proofErr w:type="spellStart"/>
      <w:r>
        <w:rPr>
          <w:rFonts w:cs="Segoe UI"/>
          <w:sz w:val="24"/>
          <w:szCs w:val="24"/>
        </w:rPr>
        <w:t>Bourough</w:t>
      </w:r>
      <w:proofErr w:type="spellEnd"/>
      <w:r>
        <w:rPr>
          <w:rFonts w:cs="Segoe UI"/>
          <w:sz w:val="24"/>
          <w:szCs w:val="24"/>
        </w:rPr>
        <w:t xml:space="preserve"> Council &amp; West Berkshire Council have challenged the vacant Buildings Credit through the High Court, and other Councils have taken the view that it should not be applied pending the outcome of this challenge. The outcome of the challenge should be known prior to the appeal hearing.</w:t>
      </w:r>
      <w:r w:rsidR="00E80F1C">
        <w:rPr>
          <w:rFonts w:cs="Segoe UI"/>
          <w:sz w:val="24"/>
          <w:szCs w:val="24"/>
        </w:rPr>
        <w:t xml:space="preserve"> The Vacant Buildings Credit was used by Newland Homes as a reason for not providing any affordable housing.</w:t>
      </w:r>
    </w:p>
    <w:p w:rsidR="00AD5A6C" w:rsidRDefault="00AD5A6C" w:rsidP="00960FE9">
      <w:pPr>
        <w:pStyle w:val="ListParagraph"/>
        <w:numPr>
          <w:ilvl w:val="0"/>
          <w:numId w:val="3"/>
        </w:numPr>
        <w:rPr>
          <w:rFonts w:cs="Segoe UI"/>
          <w:sz w:val="24"/>
          <w:szCs w:val="24"/>
        </w:rPr>
      </w:pPr>
      <w:r>
        <w:rPr>
          <w:rFonts w:cs="Segoe UI"/>
          <w:sz w:val="24"/>
          <w:szCs w:val="24"/>
        </w:rPr>
        <w:t>That FTC engage transport consultants IMA Transport to provide an analysis of the transport assessment and to stand at the appeal hearing.</w:t>
      </w:r>
    </w:p>
    <w:p w:rsidR="00AD5A6C" w:rsidRDefault="00AD5A6C" w:rsidP="00960FE9">
      <w:pPr>
        <w:pStyle w:val="ListParagraph"/>
        <w:numPr>
          <w:ilvl w:val="0"/>
          <w:numId w:val="3"/>
        </w:numPr>
        <w:rPr>
          <w:rFonts w:cs="Segoe UI"/>
          <w:sz w:val="24"/>
          <w:szCs w:val="24"/>
        </w:rPr>
      </w:pPr>
      <w:r>
        <w:rPr>
          <w:rFonts w:cs="Segoe UI"/>
          <w:sz w:val="24"/>
          <w:szCs w:val="24"/>
        </w:rPr>
        <w:lastRenderedPageBreak/>
        <w:t>That a proactive approach should be taken to in relation to the adjoining disused allotment site to protect it for wider community benefit</w:t>
      </w:r>
      <w:r w:rsidR="00E80F1C">
        <w:rPr>
          <w:rFonts w:cs="Segoe UI"/>
          <w:sz w:val="24"/>
          <w:szCs w:val="24"/>
        </w:rPr>
        <w:t xml:space="preserve"> in any provision of a viable alternative.</w:t>
      </w:r>
    </w:p>
    <w:p w:rsidR="00121CEF" w:rsidRPr="00121CEF" w:rsidRDefault="00121CEF" w:rsidP="00121CEF">
      <w:pPr>
        <w:rPr>
          <w:rFonts w:cs="Segoe UI"/>
          <w:i/>
          <w:sz w:val="24"/>
          <w:szCs w:val="24"/>
        </w:rPr>
      </w:pPr>
      <w:r w:rsidRPr="00121CEF">
        <w:rPr>
          <w:rFonts w:cs="Segoe UI"/>
          <w:i/>
          <w:sz w:val="24"/>
          <w:szCs w:val="24"/>
        </w:rPr>
        <w:t>What happens next?</w:t>
      </w:r>
    </w:p>
    <w:p w:rsidR="00121CEF" w:rsidRDefault="00121CEF" w:rsidP="00AD5A6C">
      <w:pPr>
        <w:rPr>
          <w:rFonts w:cs="Segoe UI"/>
          <w:sz w:val="24"/>
          <w:szCs w:val="24"/>
        </w:rPr>
      </w:pPr>
      <w:r>
        <w:rPr>
          <w:rFonts w:cs="Segoe UI"/>
          <w:sz w:val="24"/>
          <w:szCs w:val="24"/>
        </w:rPr>
        <w:t>Freedom of Information requests have been submitted to MDC, requesting</w:t>
      </w:r>
      <w:r w:rsidR="00EB7BF8">
        <w:rPr>
          <w:rFonts w:cs="Segoe UI"/>
          <w:sz w:val="24"/>
          <w:szCs w:val="24"/>
        </w:rPr>
        <w:t xml:space="preserve"> a copy of</w:t>
      </w:r>
      <w:r>
        <w:rPr>
          <w:rFonts w:cs="Segoe UI"/>
          <w:sz w:val="24"/>
          <w:szCs w:val="24"/>
        </w:rPr>
        <w:t xml:space="preserve"> </w:t>
      </w:r>
      <w:r>
        <w:rPr>
          <w:rFonts w:cs="Segoe UI"/>
          <w:sz w:val="24"/>
          <w:szCs w:val="24"/>
        </w:rPr>
        <w:t>the MDC viability assessment</w:t>
      </w:r>
      <w:r>
        <w:rPr>
          <w:rFonts w:cs="Segoe UI"/>
          <w:sz w:val="24"/>
          <w:szCs w:val="24"/>
        </w:rPr>
        <w:t xml:space="preserve"> and information regarding the adjoining disused allotment sites. We are currently awaiting a response.</w:t>
      </w:r>
    </w:p>
    <w:p w:rsidR="00AD5A6C" w:rsidRDefault="00BB2676" w:rsidP="00AD5A6C">
      <w:pPr>
        <w:rPr>
          <w:rFonts w:cs="Segoe UI"/>
          <w:sz w:val="24"/>
          <w:szCs w:val="24"/>
        </w:rPr>
      </w:pPr>
      <w:r>
        <w:rPr>
          <w:rFonts w:cs="Segoe UI"/>
          <w:sz w:val="24"/>
          <w:szCs w:val="24"/>
        </w:rPr>
        <w:t>I</w:t>
      </w:r>
      <w:r w:rsidR="00121CEF">
        <w:rPr>
          <w:rFonts w:cs="Segoe UI"/>
          <w:sz w:val="24"/>
          <w:szCs w:val="24"/>
        </w:rPr>
        <w:t>t has been confirmed that an appeal has been lodged</w:t>
      </w:r>
      <w:r>
        <w:rPr>
          <w:rFonts w:cs="Segoe UI"/>
          <w:sz w:val="24"/>
          <w:szCs w:val="24"/>
        </w:rPr>
        <w:t xml:space="preserve"> but at the time of writing it has not been registered </w:t>
      </w:r>
      <w:r w:rsidR="00E80F1C">
        <w:rPr>
          <w:rFonts w:cs="Segoe UI"/>
          <w:sz w:val="24"/>
          <w:szCs w:val="24"/>
        </w:rPr>
        <w:t>so we don’t know when it will be considered but if we are to support the refusal at appeal we need to be organised.</w:t>
      </w:r>
    </w:p>
    <w:p w:rsidR="00BB2676" w:rsidRDefault="00BB2676" w:rsidP="00AD5A6C">
      <w:pPr>
        <w:rPr>
          <w:rFonts w:cs="Segoe UI"/>
          <w:sz w:val="24"/>
          <w:szCs w:val="24"/>
        </w:rPr>
      </w:pPr>
      <w:r>
        <w:rPr>
          <w:rFonts w:cs="Segoe UI"/>
          <w:sz w:val="24"/>
          <w:szCs w:val="24"/>
        </w:rPr>
        <w:t>There are two parts to consider on what happens next, the first is FT</w:t>
      </w:r>
      <w:r w:rsidR="007E5E68">
        <w:rPr>
          <w:rFonts w:cs="Segoe UI"/>
          <w:sz w:val="24"/>
          <w:szCs w:val="24"/>
        </w:rPr>
        <w:t>C</w:t>
      </w:r>
      <w:r>
        <w:rPr>
          <w:rFonts w:cs="Segoe UI"/>
          <w:sz w:val="24"/>
          <w:szCs w:val="24"/>
        </w:rPr>
        <w:t xml:space="preserve">’s defence of the appeal </w:t>
      </w:r>
      <w:r w:rsidR="007E5E68">
        <w:rPr>
          <w:rFonts w:cs="Segoe UI"/>
          <w:sz w:val="24"/>
          <w:szCs w:val="24"/>
        </w:rPr>
        <w:t>a</w:t>
      </w:r>
      <w:r>
        <w:rPr>
          <w:rFonts w:cs="Segoe UI"/>
          <w:sz w:val="24"/>
          <w:szCs w:val="24"/>
        </w:rPr>
        <w:t>n</w:t>
      </w:r>
      <w:r w:rsidR="007E5E68">
        <w:rPr>
          <w:rFonts w:cs="Segoe UI"/>
          <w:sz w:val="24"/>
          <w:szCs w:val="24"/>
        </w:rPr>
        <w:t>d</w:t>
      </w:r>
      <w:r>
        <w:rPr>
          <w:rFonts w:cs="Segoe UI"/>
          <w:sz w:val="24"/>
          <w:szCs w:val="24"/>
        </w:rPr>
        <w:t xml:space="preserve"> the second is the future development of the site.</w:t>
      </w:r>
    </w:p>
    <w:p w:rsidR="00BB2676" w:rsidRDefault="00BB2676" w:rsidP="00AD5A6C">
      <w:pPr>
        <w:rPr>
          <w:rFonts w:cs="Segoe UI"/>
          <w:sz w:val="24"/>
          <w:szCs w:val="24"/>
        </w:rPr>
      </w:pPr>
      <w:r>
        <w:rPr>
          <w:rFonts w:cs="Segoe UI"/>
          <w:sz w:val="24"/>
          <w:szCs w:val="24"/>
        </w:rPr>
        <w:t xml:space="preserve">In defence of the </w:t>
      </w:r>
      <w:r w:rsidR="00BF5FFE">
        <w:rPr>
          <w:rFonts w:cs="Segoe UI"/>
          <w:sz w:val="24"/>
          <w:szCs w:val="24"/>
        </w:rPr>
        <w:t>appeal</w:t>
      </w:r>
      <w:r>
        <w:rPr>
          <w:rFonts w:cs="Segoe UI"/>
          <w:sz w:val="24"/>
          <w:szCs w:val="24"/>
        </w:rPr>
        <w:t xml:space="preserve"> it is recommended </w:t>
      </w:r>
      <w:proofErr w:type="gramStart"/>
      <w:r w:rsidR="00BF5FFE">
        <w:rPr>
          <w:rFonts w:cs="Segoe UI"/>
          <w:sz w:val="24"/>
          <w:szCs w:val="24"/>
        </w:rPr>
        <w:t>that :</w:t>
      </w:r>
      <w:proofErr w:type="gramEnd"/>
      <w:r w:rsidR="00BF5FFE">
        <w:rPr>
          <w:rFonts w:cs="Segoe UI"/>
          <w:sz w:val="24"/>
          <w:szCs w:val="24"/>
        </w:rPr>
        <w:t>-</w:t>
      </w:r>
    </w:p>
    <w:p w:rsidR="00BF5FFE" w:rsidRDefault="00BF5FFE" w:rsidP="00BF5FFE">
      <w:pPr>
        <w:pStyle w:val="ListParagraph"/>
        <w:numPr>
          <w:ilvl w:val="0"/>
          <w:numId w:val="4"/>
        </w:numPr>
        <w:rPr>
          <w:rFonts w:cs="Segoe UI"/>
          <w:sz w:val="24"/>
          <w:szCs w:val="24"/>
        </w:rPr>
      </w:pPr>
      <w:r>
        <w:rPr>
          <w:rFonts w:cs="Segoe UI"/>
          <w:sz w:val="24"/>
          <w:szCs w:val="24"/>
        </w:rPr>
        <w:t>IMA Transport are engaged to provide an analysis of the transport assessment and represent FTC at the appeal hearing</w:t>
      </w:r>
      <w:r w:rsidR="00E80F1C">
        <w:rPr>
          <w:rFonts w:cs="Segoe UI"/>
          <w:sz w:val="24"/>
          <w:szCs w:val="24"/>
        </w:rPr>
        <w:t xml:space="preserve">, this is likely to cost </w:t>
      </w:r>
      <w:r w:rsidR="00397B6D">
        <w:rPr>
          <w:rFonts w:cs="Segoe UI"/>
          <w:sz w:val="24"/>
          <w:szCs w:val="24"/>
        </w:rPr>
        <w:t>around £2000.</w:t>
      </w:r>
    </w:p>
    <w:p w:rsidR="00BF5FFE" w:rsidRDefault="00BF5FFE" w:rsidP="00BF5FFE">
      <w:pPr>
        <w:pStyle w:val="ListParagraph"/>
        <w:numPr>
          <w:ilvl w:val="0"/>
          <w:numId w:val="4"/>
        </w:numPr>
        <w:rPr>
          <w:rFonts w:cs="Segoe UI"/>
          <w:sz w:val="24"/>
          <w:szCs w:val="24"/>
        </w:rPr>
      </w:pPr>
      <w:r>
        <w:rPr>
          <w:rFonts w:cs="Segoe UI"/>
          <w:sz w:val="24"/>
          <w:szCs w:val="24"/>
        </w:rPr>
        <w:t xml:space="preserve">To </w:t>
      </w:r>
      <w:r>
        <w:rPr>
          <w:rFonts w:cs="Segoe UI"/>
          <w:sz w:val="24"/>
          <w:szCs w:val="24"/>
        </w:rPr>
        <w:t xml:space="preserve">ask </w:t>
      </w:r>
      <w:r>
        <w:rPr>
          <w:rFonts w:cs="Segoe UI"/>
          <w:sz w:val="24"/>
          <w:szCs w:val="24"/>
        </w:rPr>
        <w:t xml:space="preserve">that The Frome Civic Society </w:t>
      </w:r>
      <w:r>
        <w:rPr>
          <w:rFonts w:cs="Segoe UI"/>
          <w:sz w:val="24"/>
          <w:szCs w:val="24"/>
        </w:rPr>
        <w:t xml:space="preserve">act </w:t>
      </w:r>
      <w:r>
        <w:rPr>
          <w:rFonts w:cs="Segoe UI"/>
          <w:sz w:val="24"/>
          <w:szCs w:val="24"/>
        </w:rPr>
        <w:t>as a witness</w:t>
      </w:r>
      <w:r>
        <w:rPr>
          <w:rFonts w:cs="Segoe UI"/>
          <w:sz w:val="24"/>
          <w:szCs w:val="24"/>
        </w:rPr>
        <w:t xml:space="preserve"> at the appeal hearing</w:t>
      </w:r>
      <w:r>
        <w:rPr>
          <w:rFonts w:cs="Segoe UI"/>
          <w:sz w:val="24"/>
          <w:szCs w:val="24"/>
        </w:rPr>
        <w:t xml:space="preserve"> on grounds of design and the resulting site density</w:t>
      </w:r>
      <w:r>
        <w:rPr>
          <w:rFonts w:cs="Segoe UI"/>
          <w:sz w:val="24"/>
          <w:szCs w:val="24"/>
        </w:rPr>
        <w:t>.</w:t>
      </w:r>
    </w:p>
    <w:p w:rsidR="00BB2676" w:rsidRDefault="00BF5FFE" w:rsidP="00BF5FFE">
      <w:pPr>
        <w:pStyle w:val="ListParagraph"/>
        <w:numPr>
          <w:ilvl w:val="0"/>
          <w:numId w:val="4"/>
        </w:numPr>
        <w:rPr>
          <w:rFonts w:cs="Segoe UI"/>
          <w:sz w:val="24"/>
          <w:szCs w:val="24"/>
        </w:rPr>
      </w:pPr>
      <w:r>
        <w:rPr>
          <w:rFonts w:cs="Segoe UI"/>
          <w:sz w:val="24"/>
          <w:szCs w:val="24"/>
        </w:rPr>
        <w:t>Following the outcome of the High Court Appeal on the vacant buildings credit, engage a Solicitor to defend this issue at the appeal hearing.</w:t>
      </w:r>
    </w:p>
    <w:p w:rsidR="00914C61" w:rsidRDefault="00EB7BF8" w:rsidP="00EB7BF8">
      <w:pPr>
        <w:rPr>
          <w:rFonts w:cs="Segoe UI"/>
          <w:sz w:val="24"/>
          <w:szCs w:val="24"/>
        </w:rPr>
      </w:pPr>
      <w:r>
        <w:rPr>
          <w:rFonts w:cs="Segoe UI"/>
          <w:sz w:val="24"/>
          <w:szCs w:val="24"/>
        </w:rPr>
        <w:t>I</w:t>
      </w:r>
      <w:r w:rsidR="00397B6D">
        <w:rPr>
          <w:rFonts w:cs="Segoe UI"/>
          <w:sz w:val="24"/>
          <w:szCs w:val="24"/>
        </w:rPr>
        <w:t xml:space="preserve">f the application is refused at appeal, for </w:t>
      </w:r>
      <w:r>
        <w:rPr>
          <w:rFonts w:cs="Segoe UI"/>
          <w:sz w:val="24"/>
          <w:szCs w:val="24"/>
        </w:rPr>
        <w:t xml:space="preserve">the future development of the site there are two options, the first is to </w:t>
      </w:r>
      <w:r w:rsidR="00397B6D">
        <w:rPr>
          <w:rFonts w:cs="Segoe UI"/>
          <w:sz w:val="24"/>
          <w:szCs w:val="24"/>
        </w:rPr>
        <w:t xml:space="preserve">work </w:t>
      </w:r>
      <w:r>
        <w:rPr>
          <w:rFonts w:cs="Segoe UI"/>
          <w:sz w:val="24"/>
          <w:szCs w:val="24"/>
        </w:rPr>
        <w:t xml:space="preserve">with the </w:t>
      </w:r>
      <w:r w:rsidR="00914C61">
        <w:rPr>
          <w:rFonts w:cs="Segoe UI"/>
          <w:sz w:val="24"/>
          <w:szCs w:val="24"/>
        </w:rPr>
        <w:t>Community</w:t>
      </w:r>
      <w:r w:rsidR="006D77C0">
        <w:rPr>
          <w:rFonts w:cs="Segoe UI"/>
          <w:sz w:val="24"/>
          <w:szCs w:val="24"/>
        </w:rPr>
        <w:t xml:space="preserve"> now</w:t>
      </w:r>
      <w:r w:rsidR="00914C61">
        <w:rPr>
          <w:rFonts w:cs="Segoe UI"/>
          <w:sz w:val="24"/>
          <w:szCs w:val="24"/>
        </w:rPr>
        <w:t xml:space="preserve"> and prepare an acceptable alternative scheme for the development of the site. This would require the services of a planning consultant to prepare all the necessary</w:t>
      </w:r>
      <w:r w:rsidR="00FA308C">
        <w:rPr>
          <w:rFonts w:cs="Segoe UI"/>
          <w:sz w:val="24"/>
          <w:szCs w:val="24"/>
        </w:rPr>
        <w:t xml:space="preserve"> plans and documentation and town council resources for the community engagement.</w:t>
      </w:r>
    </w:p>
    <w:p w:rsidR="00FA308C" w:rsidRDefault="00914C61" w:rsidP="00EB7BF8">
      <w:pPr>
        <w:rPr>
          <w:rFonts w:cs="Segoe UI"/>
          <w:sz w:val="24"/>
          <w:szCs w:val="24"/>
        </w:rPr>
      </w:pPr>
      <w:r>
        <w:rPr>
          <w:rFonts w:cs="Segoe UI"/>
          <w:sz w:val="24"/>
          <w:szCs w:val="24"/>
        </w:rPr>
        <w:t xml:space="preserve">The benefits of this </w:t>
      </w:r>
      <w:r w:rsidR="009E40DE">
        <w:rPr>
          <w:rFonts w:cs="Segoe UI"/>
          <w:sz w:val="24"/>
          <w:szCs w:val="24"/>
        </w:rPr>
        <w:t>ar</w:t>
      </w:r>
      <w:r>
        <w:rPr>
          <w:rFonts w:cs="Segoe UI"/>
          <w:sz w:val="24"/>
          <w:szCs w:val="24"/>
        </w:rPr>
        <w:t>e</w:t>
      </w:r>
      <w:r w:rsidR="00FA308C">
        <w:rPr>
          <w:rFonts w:cs="Segoe UI"/>
          <w:sz w:val="24"/>
          <w:szCs w:val="24"/>
        </w:rPr>
        <w:t>:-</w:t>
      </w:r>
    </w:p>
    <w:p w:rsidR="00FA308C" w:rsidRDefault="00FA308C" w:rsidP="00FA308C">
      <w:pPr>
        <w:pStyle w:val="ListParagraph"/>
        <w:numPr>
          <w:ilvl w:val="0"/>
          <w:numId w:val="6"/>
        </w:numPr>
        <w:rPr>
          <w:rFonts w:cs="Segoe UI"/>
          <w:sz w:val="24"/>
          <w:szCs w:val="24"/>
        </w:rPr>
      </w:pPr>
      <w:r>
        <w:rPr>
          <w:rFonts w:cs="Segoe UI"/>
          <w:sz w:val="24"/>
          <w:szCs w:val="24"/>
        </w:rPr>
        <w:t>T</w:t>
      </w:r>
      <w:r w:rsidR="00914C61" w:rsidRPr="00FA308C">
        <w:rPr>
          <w:rFonts w:cs="Segoe UI"/>
          <w:sz w:val="24"/>
          <w:szCs w:val="24"/>
        </w:rPr>
        <w:t xml:space="preserve">o reassure the residents that something is being </w:t>
      </w:r>
      <w:r w:rsidR="006D77C0" w:rsidRPr="00FA308C">
        <w:rPr>
          <w:rFonts w:cs="Segoe UI"/>
          <w:sz w:val="24"/>
          <w:szCs w:val="24"/>
        </w:rPr>
        <w:t>done</w:t>
      </w:r>
      <w:r w:rsidRPr="00FA308C">
        <w:rPr>
          <w:rFonts w:cs="Segoe UI"/>
          <w:sz w:val="24"/>
          <w:szCs w:val="24"/>
        </w:rPr>
        <w:t xml:space="preserve"> </w:t>
      </w:r>
    </w:p>
    <w:p w:rsidR="00FA308C" w:rsidRPr="00FA308C" w:rsidRDefault="00FA308C" w:rsidP="00FA308C">
      <w:pPr>
        <w:pStyle w:val="ListParagraph"/>
        <w:numPr>
          <w:ilvl w:val="0"/>
          <w:numId w:val="6"/>
        </w:numPr>
        <w:rPr>
          <w:rFonts w:cs="Segoe UI"/>
          <w:sz w:val="24"/>
          <w:szCs w:val="24"/>
        </w:rPr>
      </w:pPr>
      <w:r w:rsidRPr="00FA308C">
        <w:rPr>
          <w:rFonts w:cs="Segoe UI"/>
          <w:sz w:val="24"/>
          <w:szCs w:val="24"/>
        </w:rPr>
        <w:t xml:space="preserve"> FTC would be in a position to present a viable alternative to the Police Authority if the appeal is refused.</w:t>
      </w:r>
    </w:p>
    <w:p w:rsidR="00FA308C" w:rsidRDefault="006D77C0" w:rsidP="00EB7BF8">
      <w:pPr>
        <w:rPr>
          <w:rFonts w:cs="Segoe UI"/>
          <w:sz w:val="24"/>
          <w:szCs w:val="24"/>
        </w:rPr>
      </w:pPr>
      <w:r>
        <w:rPr>
          <w:rFonts w:cs="Segoe UI"/>
          <w:sz w:val="24"/>
          <w:szCs w:val="24"/>
        </w:rPr>
        <w:t>The drawbacks are</w:t>
      </w:r>
      <w:r w:rsidR="00FA308C">
        <w:rPr>
          <w:rFonts w:cs="Segoe UI"/>
          <w:sz w:val="24"/>
          <w:szCs w:val="24"/>
        </w:rPr>
        <w:t>:-</w:t>
      </w:r>
    </w:p>
    <w:p w:rsidR="00FA308C" w:rsidRDefault="00FA308C" w:rsidP="00FA308C">
      <w:pPr>
        <w:pStyle w:val="ListParagraph"/>
        <w:numPr>
          <w:ilvl w:val="0"/>
          <w:numId w:val="7"/>
        </w:numPr>
        <w:rPr>
          <w:rFonts w:cs="Segoe UI"/>
          <w:sz w:val="24"/>
          <w:szCs w:val="24"/>
        </w:rPr>
      </w:pPr>
      <w:r>
        <w:rPr>
          <w:rFonts w:cs="Segoe UI"/>
          <w:sz w:val="24"/>
          <w:szCs w:val="24"/>
        </w:rPr>
        <w:t>I</w:t>
      </w:r>
      <w:r w:rsidR="006D77C0" w:rsidRPr="00FA308C">
        <w:rPr>
          <w:rFonts w:cs="Segoe UI"/>
          <w:sz w:val="24"/>
          <w:szCs w:val="24"/>
        </w:rPr>
        <w:t xml:space="preserve">f the appeal is allowed, the resources put towards the work will be lost. </w:t>
      </w:r>
    </w:p>
    <w:p w:rsidR="006D77C0" w:rsidRDefault="00FA308C" w:rsidP="00FA308C">
      <w:pPr>
        <w:pStyle w:val="ListParagraph"/>
        <w:numPr>
          <w:ilvl w:val="0"/>
          <w:numId w:val="7"/>
        </w:numPr>
        <w:rPr>
          <w:rFonts w:cs="Segoe UI"/>
          <w:sz w:val="24"/>
          <w:szCs w:val="24"/>
        </w:rPr>
      </w:pPr>
      <w:r>
        <w:rPr>
          <w:rFonts w:cs="Segoe UI"/>
          <w:sz w:val="24"/>
          <w:szCs w:val="24"/>
        </w:rPr>
        <w:t>I</w:t>
      </w:r>
      <w:r w:rsidRPr="00FA308C">
        <w:rPr>
          <w:rFonts w:cs="Segoe UI"/>
          <w:sz w:val="24"/>
          <w:szCs w:val="24"/>
        </w:rPr>
        <w:t>f the appeal is refused there is no guarantee that the Police Authority would be willing to consider any proposals put forward by FTC</w:t>
      </w:r>
      <w:r w:rsidR="003E27D2">
        <w:rPr>
          <w:rFonts w:cs="Segoe UI"/>
          <w:sz w:val="24"/>
          <w:szCs w:val="24"/>
        </w:rPr>
        <w:t>, and at this point  they are not willing to consider this until the appeal has been determined</w:t>
      </w:r>
      <w:r w:rsidRPr="00FA308C">
        <w:rPr>
          <w:rFonts w:cs="Segoe UI"/>
          <w:sz w:val="24"/>
          <w:szCs w:val="24"/>
        </w:rPr>
        <w:t xml:space="preserve"> </w:t>
      </w:r>
    </w:p>
    <w:p w:rsidR="00FA308C" w:rsidRDefault="00FA308C" w:rsidP="00FA308C">
      <w:pPr>
        <w:pStyle w:val="ListParagraph"/>
        <w:numPr>
          <w:ilvl w:val="0"/>
          <w:numId w:val="7"/>
        </w:numPr>
        <w:rPr>
          <w:rFonts w:cs="Segoe UI"/>
          <w:sz w:val="24"/>
          <w:szCs w:val="24"/>
        </w:rPr>
      </w:pPr>
      <w:r>
        <w:rPr>
          <w:rFonts w:cs="Segoe UI"/>
          <w:sz w:val="24"/>
          <w:szCs w:val="24"/>
        </w:rPr>
        <w:t>How will this work be funded</w:t>
      </w:r>
    </w:p>
    <w:p w:rsidR="00FA308C" w:rsidRDefault="00FA308C" w:rsidP="00FA308C">
      <w:pPr>
        <w:pStyle w:val="ListParagraph"/>
        <w:numPr>
          <w:ilvl w:val="0"/>
          <w:numId w:val="7"/>
        </w:numPr>
        <w:rPr>
          <w:rFonts w:cs="Segoe UI"/>
          <w:sz w:val="24"/>
          <w:szCs w:val="24"/>
        </w:rPr>
      </w:pPr>
      <w:r>
        <w:rPr>
          <w:rFonts w:cs="Segoe UI"/>
          <w:sz w:val="24"/>
          <w:szCs w:val="24"/>
        </w:rPr>
        <w:lastRenderedPageBreak/>
        <w:t xml:space="preserve">It should be noted that without securing an option on the site, any planning consent that might be gained by FTC could be implemented by any developer, therefore not allowing FTC to </w:t>
      </w:r>
      <w:r w:rsidR="00580E0A">
        <w:rPr>
          <w:rFonts w:cs="Segoe UI"/>
          <w:sz w:val="24"/>
          <w:szCs w:val="24"/>
        </w:rPr>
        <w:t>benefit from the initial investment of preparing an acceptable alternative.</w:t>
      </w:r>
      <w:r>
        <w:rPr>
          <w:rFonts w:cs="Segoe UI"/>
          <w:sz w:val="24"/>
          <w:szCs w:val="24"/>
        </w:rPr>
        <w:t xml:space="preserve"> </w:t>
      </w:r>
    </w:p>
    <w:p w:rsidR="00580E0A" w:rsidRDefault="00580E0A" w:rsidP="00580E0A">
      <w:pPr>
        <w:rPr>
          <w:rFonts w:cs="Segoe UI"/>
          <w:sz w:val="24"/>
          <w:szCs w:val="24"/>
        </w:rPr>
      </w:pPr>
      <w:r>
        <w:rPr>
          <w:rFonts w:cs="Segoe UI"/>
          <w:sz w:val="24"/>
          <w:szCs w:val="24"/>
        </w:rPr>
        <w:t xml:space="preserve">The Second </w:t>
      </w:r>
      <w:r w:rsidR="009E40DE">
        <w:rPr>
          <w:rFonts w:cs="Segoe UI"/>
          <w:sz w:val="24"/>
          <w:szCs w:val="24"/>
        </w:rPr>
        <w:t>option</w:t>
      </w:r>
      <w:r>
        <w:rPr>
          <w:rFonts w:cs="Segoe UI"/>
          <w:sz w:val="24"/>
          <w:szCs w:val="24"/>
        </w:rPr>
        <w:t xml:space="preserve"> would be to wait until the outcome</w:t>
      </w:r>
      <w:r w:rsidR="009E40DE">
        <w:rPr>
          <w:rFonts w:cs="Segoe UI"/>
          <w:sz w:val="24"/>
          <w:szCs w:val="24"/>
        </w:rPr>
        <w:t xml:space="preserve"> of the appeal, if the appeal is refused, discuss with the Police Authority their willingness to work with FTC allowing us to work with the community to bring forward an acceptable alternative.</w:t>
      </w:r>
    </w:p>
    <w:p w:rsidR="009E40DE" w:rsidRDefault="009E40DE" w:rsidP="00580E0A">
      <w:pPr>
        <w:rPr>
          <w:rFonts w:cs="Segoe UI"/>
          <w:sz w:val="24"/>
          <w:szCs w:val="24"/>
        </w:rPr>
      </w:pPr>
      <w:r>
        <w:rPr>
          <w:rFonts w:cs="Segoe UI"/>
          <w:sz w:val="24"/>
          <w:szCs w:val="24"/>
        </w:rPr>
        <w:t>The benefits of this are:-</w:t>
      </w:r>
    </w:p>
    <w:p w:rsidR="003E27D2" w:rsidRDefault="003E27D2" w:rsidP="009E40DE">
      <w:pPr>
        <w:pStyle w:val="ListParagraph"/>
        <w:numPr>
          <w:ilvl w:val="0"/>
          <w:numId w:val="8"/>
        </w:numPr>
        <w:rPr>
          <w:rFonts w:cs="Segoe UI"/>
          <w:sz w:val="24"/>
          <w:szCs w:val="24"/>
        </w:rPr>
      </w:pPr>
      <w:r>
        <w:rPr>
          <w:rFonts w:cs="Segoe UI"/>
          <w:sz w:val="24"/>
          <w:szCs w:val="24"/>
        </w:rPr>
        <w:t xml:space="preserve">The confidence of having an agreement with the Police </w:t>
      </w:r>
      <w:r w:rsidR="00397B6D">
        <w:rPr>
          <w:rFonts w:cs="Segoe UI"/>
          <w:sz w:val="24"/>
          <w:szCs w:val="24"/>
        </w:rPr>
        <w:t>A</w:t>
      </w:r>
      <w:r>
        <w:rPr>
          <w:rFonts w:cs="Segoe UI"/>
          <w:sz w:val="24"/>
          <w:szCs w:val="24"/>
        </w:rPr>
        <w:t xml:space="preserve">uthority </w:t>
      </w:r>
    </w:p>
    <w:p w:rsidR="009E40DE" w:rsidRDefault="009E40DE" w:rsidP="009E40DE">
      <w:pPr>
        <w:pStyle w:val="ListParagraph"/>
        <w:numPr>
          <w:ilvl w:val="0"/>
          <w:numId w:val="8"/>
        </w:numPr>
        <w:rPr>
          <w:rFonts w:cs="Segoe UI"/>
          <w:sz w:val="24"/>
          <w:szCs w:val="24"/>
        </w:rPr>
      </w:pPr>
      <w:r>
        <w:rPr>
          <w:rFonts w:cs="Segoe UI"/>
          <w:sz w:val="24"/>
          <w:szCs w:val="24"/>
        </w:rPr>
        <w:t>There will be no potential loss of funds or staff recourses</w:t>
      </w:r>
    </w:p>
    <w:p w:rsidR="009E40DE" w:rsidRDefault="003E27D2" w:rsidP="009E40DE">
      <w:pPr>
        <w:pStyle w:val="ListParagraph"/>
        <w:numPr>
          <w:ilvl w:val="0"/>
          <w:numId w:val="8"/>
        </w:numPr>
        <w:rPr>
          <w:rFonts w:cs="Segoe UI"/>
          <w:sz w:val="24"/>
          <w:szCs w:val="24"/>
        </w:rPr>
      </w:pPr>
      <w:r>
        <w:rPr>
          <w:rFonts w:cs="Segoe UI"/>
          <w:sz w:val="24"/>
          <w:szCs w:val="24"/>
        </w:rPr>
        <w:t>Will give FTC a lever to work with other potential developers</w:t>
      </w:r>
    </w:p>
    <w:p w:rsidR="003E27D2" w:rsidRDefault="003E27D2" w:rsidP="003E27D2">
      <w:pPr>
        <w:rPr>
          <w:rFonts w:cs="Segoe UI"/>
          <w:sz w:val="24"/>
          <w:szCs w:val="24"/>
        </w:rPr>
      </w:pPr>
      <w:r>
        <w:rPr>
          <w:rFonts w:cs="Segoe UI"/>
          <w:sz w:val="24"/>
          <w:szCs w:val="24"/>
        </w:rPr>
        <w:t>The drawbacks are:-</w:t>
      </w:r>
    </w:p>
    <w:p w:rsidR="003E27D2" w:rsidRDefault="003E27D2" w:rsidP="003E27D2">
      <w:pPr>
        <w:pStyle w:val="ListParagraph"/>
        <w:numPr>
          <w:ilvl w:val="0"/>
          <w:numId w:val="9"/>
        </w:numPr>
        <w:rPr>
          <w:rFonts w:cs="Segoe UI"/>
          <w:sz w:val="24"/>
          <w:szCs w:val="24"/>
        </w:rPr>
      </w:pPr>
      <w:r>
        <w:rPr>
          <w:rFonts w:cs="Segoe UI"/>
          <w:sz w:val="24"/>
          <w:szCs w:val="24"/>
        </w:rPr>
        <w:t>The possibility that another developer</w:t>
      </w:r>
      <w:r w:rsidR="00763001">
        <w:rPr>
          <w:rFonts w:cs="Segoe UI"/>
          <w:sz w:val="24"/>
          <w:szCs w:val="24"/>
        </w:rPr>
        <w:t xml:space="preserve"> including Newland Homes</w:t>
      </w:r>
      <w:r>
        <w:rPr>
          <w:rFonts w:cs="Segoe UI"/>
          <w:sz w:val="24"/>
          <w:szCs w:val="24"/>
        </w:rPr>
        <w:t xml:space="preserve"> could take out an option on the site</w:t>
      </w:r>
      <w:r w:rsidR="00763001">
        <w:rPr>
          <w:rFonts w:cs="Segoe UI"/>
          <w:sz w:val="24"/>
          <w:szCs w:val="24"/>
        </w:rPr>
        <w:t xml:space="preserve"> and submit an unacceptable alternative</w:t>
      </w:r>
    </w:p>
    <w:p w:rsidR="00763001" w:rsidRPr="003E27D2" w:rsidRDefault="00763001" w:rsidP="003E27D2">
      <w:pPr>
        <w:pStyle w:val="ListParagraph"/>
        <w:numPr>
          <w:ilvl w:val="0"/>
          <w:numId w:val="9"/>
        </w:numPr>
        <w:rPr>
          <w:rFonts w:cs="Segoe UI"/>
          <w:sz w:val="24"/>
          <w:szCs w:val="24"/>
        </w:rPr>
      </w:pPr>
      <w:r>
        <w:rPr>
          <w:rFonts w:cs="Segoe UI"/>
          <w:sz w:val="24"/>
          <w:szCs w:val="24"/>
        </w:rPr>
        <w:t xml:space="preserve">Lack of faith in the </w:t>
      </w:r>
      <w:r w:rsidR="00397B6D">
        <w:rPr>
          <w:rFonts w:cs="Segoe UI"/>
          <w:sz w:val="24"/>
          <w:szCs w:val="24"/>
        </w:rPr>
        <w:t>T</w:t>
      </w:r>
      <w:r>
        <w:rPr>
          <w:rFonts w:cs="Segoe UI"/>
          <w:sz w:val="24"/>
          <w:szCs w:val="24"/>
        </w:rPr>
        <w:t xml:space="preserve">own </w:t>
      </w:r>
      <w:r w:rsidR="00397B6D">
        <w:rPr>
          <w:rFonts w:cs="Segoe UI"/>
          <w:sz w:val="24"/>
          <w:szCs w:val="24"/>
        </w:rPr>
        <w:t>C</w:t>
      </w:r>
      <w:r>
        <w:rPr>
          <w:rFonts w:cs="Segoe UI"/>
          <w:sz w:val="24"/>
          <w:szCs w:val="24"/>
        </w:rPr>
        <w:t>ouncil from the residents</w:t>
      </w:r>
    </w:p>
    <w:p w:rsidR="003E27D2" w:rsidRPr="003E27D2" w:rsidRDefault="003E27D2" w:rsidP="003E27D2">
      <w:pPr>
        <w:rPr>
          <w:rFonts w:cs="Segoe UI"/>
          <w:sz w:val="24"/>
          <w:szCs w:val="24"/>
        </w:rPr>
      </w:pPr>
    </w:p>
    <w:p w:rsidR="009E40DE" w:rsidRDefault="00397B6D" w:rsidP="00580E0A">
      <w:pPr>
        <w:rPr>
          <w:rFonts w:cs="Segoe UI"/>
          <w:i/>
          <w:sz w:val="24"/>
          <w:szCs w:val="24"/>
        </w:rPr>
      </w:pPr>
      <w:r w:rsidRPr="00397B6D">
        <w:rPr>
          <w:rFonts w:cs="Segoe UI"/>
          <w:i/>
          <w:sz w:val="24"/>
          <w:szCs w:val="24"/>
        </w:rPr>
        <w:t>Recommendation</w:t>
      </w:r>
    </w:p>
    <w:p w:rsidR="007655E6" w:rsidRDefault="007655E6" w:rsidP="00580E0A">
      <w:pPr>
        <w:rPr>
          <w:rFonts w:cs="Segoe UI"/>
          <w:sz w:val="24"/>
          <w:szCs w:val="24"/>
        </w:rPr>
      </w:pPr>
      <w:r>
        <w:rPr>
          <w:rFonts w:cs="Segoe UI"/>
          <w:sz w:val="24"/>
          <w:szCs w:val="24"/>
        </w:rPr>
        <w:t>The Planning Advisory Panel recommends to Council</w:t>
      </w:r>
      <w:r w:rsidR="009D4E64">
        <w:rPr>
          <w:rFonts w:cs="Segoe UI"/>
          <w:sz w:val="24"/>
          <w:szCs w:val="24"/>
        </w:rPr>
        <w:t>, in</w:t>
      </w:r>
      <w:r>
        <w:rPr>
          <w:rFonts w:cs="Segoe UI"/>
          <w:sz w:val="24"/>
          <w:szCs w:val="24"/>
        </w:rPr>
        <w:t xml:space="preserve"> defence of the appeal</w:t>
      </w:r>
      <w:r w:rsidR="00A2306E">
        <w:rPr>
          <w:rFonts w:cs="Segoe UI"/>
          <w:sz w:val="24"/>
          <w:szCs w:val="24"/>
        </w:rPr>
        <w:t>:-</w:t>
      </w:r>
    </w:p>
    <w:p w:rsidR="007655E6" w:rsidRDefault="007655E6" w:rsidP="007655E6">
      <w:pPr>
        <w:pStyle w:val="ListParagraph"/>
        <w:numPr>
          <w:ilvl w:val="0"/>
          <w:numId w:val="4"/>
        </w:numPr>
        <w:rPr>
          <w:rFonts w:cs="Segoe UI"/>
          <w:sz w:val="24"/>
          <w:szCs w:val="24"/>
        </w:rPr>
      </w:pPr>
      <w:r>
        <w:rPr>
          <w:rFonts w:cs="Segoe UI"/>
          <w:sz w:val="24"/>
          <w:szCs w:val="24"/>
        </w:rPr>
        <w:t>IMA Transport are engaged to provide an analysis of the transport assessment and represent FTC at the appeal hearing, this is likely to cost around £2000.</w:t>
      </w:r>
    </w:p>
    <w:p w:rsidR="007655E6" w:rsidRDefault="007655E6" w:rsidP="007655E6">
      <w:pPr>
        <w:pStyle w:val="ListParagraph"/>
        <w:numPr>
          <w:ilvl w:val="0"/>
          <w:numId w:val="4"/>
        </w:numPr>
        <w:rPr>
          <w:rFonts w:cs="Segoe UI"/>
          <w:sz w:val="24"/>
          <w:szCs w:val="24"/>
        </w:rPr>
      </w:pPr>
      <w:r>
        <w:rPr>
          <w:rFonts w:cs="Segoe UI"/>
          <w:sz w:val="24"/>
          <w:szCs w:val="24"/>
        </w:rPr>
        <w:t>To ask that The Frome Civic Society act as a witness at the appeal hearing on grounds of design and the resulting site density.</w:t>
      </w:r>
    </w:p>
    <w:p w:rsidR="007655E6" w:rsidRDefault="007655E6" w:rsidP="007655E6">
      <w:pPr>
        <w:pStyle w:val="ListParagraph"/>
        <w:numPr>
          <w:ilvl w:val="0"/>
          <w:numId w:val="4"/>
        </w:numPr>
        <w:rPr>
          <w:rFonts w:cs="Segoe UI"/>
          <w:sz w:val="24"/>
          <w:szCs w:val="24"/>
        </w:rPr>
      </w:pPr>
      <w:r>
        <w:rPr>
          <w:rFonts w:cs="Segoe UI"/>
          <w:sz w:val="24"/>
          <w:szCs w:val="24"/>
        </w:rPr>
        <w:t>Following the outcome of the High Court Appeal on the vacant buildings credit, engage a Solicitor to defend this issue at the appeal hearing.</w:t>
      </w:r>
    </w:p>
    <w:p w:rsidR="007655E6" w:rsidRPr="007655E6" w:rsidRDefault="009D4E64" w:rsidP="007655E6">
      <w:pPr>
        <w:ind w:left="360"/>
        <w:rPr>
          <w:rFonts w:cs="Segoe UI"/>
          <w:sz w:val="24"/>
          <w:szCs w:val="24"/>
        </w:rPr>
      </w:pPr>
      <w:r>
        <w:rPr>
          <w:rFonts w:cs="Segoe UI"/>
          <w:sz w:val="24"/>
          <w:szCs w:val="24"/>
        </w:rPr>
        <w:t>To w</w:t>
      </w:r>
      <w:bookmarkStart w:id="0" w:name="_GoBack"/>
      <w:bookmarkEnd w:id="0"/>
      <w:r w:rsidR="007655E6" w:rsidRPr="007655E6">
        <w:rPr>
          <w:rFonts w:cs="Segoe UI"/>
          <w:sz w:val="24"/>
          <w:szCs w:val="24"/>
        </w:rPr>
        <w:t>ait until the outcome of the appeal, if the appeal is refused, discuss with the Police Authority their willingness to work with FTC allowing us to work with the community to bring forward an acceptable alternative</w:t>
      </w:r>
      <w:r w:rsidR="00A2306E">
        <w:rPr>
          <w:rFonts w:cs="Segoe UI"/>
          <w:sz w:val="24"/>
          <w:szCs w:val="24"/>
        </w:rPr>
        <w:t xml:space="preserve"> to developing the site</w:t>
      </w:r>
      <w:r w:rsidR="007655E6" w:rsidRPr="007655E6">
        <w:rPr>
          <w:rFonts w:cs="Segoe UI"/>
          <w:sz w:val="24"/>
          <w:szCs w:val="24"/>
        </w:rPr>
        <w:t>.</w:t>
      </w:r>
    </w:p>
    <w:p w:rsidR="007655E6" w:rsidRDefault="007655E6" w:rsidP="00580E0A">
      <w:pPr>
        <w:rPr>
          <w:rFonts w:cs="Segoe UI"/>
          <w:sz w:val="24"/>
          <w:szCs w:val="24"/>
        </w:rPr>
      </w:pPr>
    </w:p>
    <w:p w:rsidR="007655E6" w:rsidRPr="00397B6D" w:rsidRDefault="007655E6" w:rsidP="00580E0A">
      <w:pPr>
        <w:rPr>
          <w:rFonts w:cs="Segoe UI"/>
          <w:sz w:val="24"/>
          <w:szCs w:val="24"/>
        </w:rPr>
      </w:pPr>
    </w:p>
    <w:p w:rsidR="00397B6D" w:rsidRPr="00580E0A" w:rsidRDefault="00397B6D" w:rsidP="00580E0A">
      <w:pPr>
        <w:rPr>
          <w:rFonts w:cs="Segoe UI"/>
          <w:sz w:val="24"/>
          <w:szCs w:val="24"/>
        </w:rPr>
      </w:pPr>
    </w:p>
    <w:p w:rsidR="00BB2676" w:rsidRDefault="00BB2676" w:rsidP="00AD5A6C">
      <w:pPr>
        <w:rPr>
          <w:rFonts w:cs="Segoe UI"/>
          <w:sz w:val="24"/>
          <w:szCs w:val="24"/>
        </w:rPr>
      </w:pPr>
    </w:p>
    <w:p w:rsidR="00BB2676" w:rsidRPr="00AD5A6C" w:rsidRDefault="00BB2676" w:rsidP="00AD5A6C">
      <w:pPr>
        <w:rPr>
          <w:rFonts w:cs="Segoe UI"/>
          <w:sz w:val="24"/>
          <w:szCs w:val="24"/>
        </w:rPr>
      </w:pPr>
    </w:p>
    <w:p w:rsidR="00960FE9" w:rsidRPr="00111F4D" w:rsidRDefault="00960FE9" w:rsidP="00C6452F">
      <w:pPr>
        <w:rPr>
          <w:rFonts w:eastAsia="Times New Roman" w:cs="Segoe UI"/>
          <w:sz w:val="24"/>
          <w:szCs w:val="24"/>
        </w:rPr>
      </w:pPr>
    </w:p>
    <w:p w:rsidR="0044095F" w:rsidRDefault="0044095F" w:rsidP="00C6452F"/>
    <w:p w:rsidR="00997FCC" w:rsidRDefault="00997FCC"/>
    <w:sectPr w:rsidR="00997FCC" w:rsidSect="00FA308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4CC2"/>
    <w:multiLevelType w:val="hybridMultilevel"/>
    <w:tmpl w:val="078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64593"/>
    <w:multiLevelType w:val="hybridMultilevel"/>
    <w:tmpl w:val="B30E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574DE"/>
    <w:multiLevelType w:val="hybridMultilevel"/>
    <w:tmpl w:val="5526E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9C40549"/>
    <w:multiLevelType w:val="hybridMultilevel"/>
    <w:tmpl w:val="D97CFD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D5127FB"/>
    <w:multiLevelType w:val="hybridMultilevel"/>
    <w:tmpl w:val="E93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569C7"/>
    <w:multiLevelType w:val="hybridMultilevel"/>
    <w:tmpl w:val="A48A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27989"/>
    <w:multiLevelType w:val="hybridMultilevel"/>
    <w:tmpl w:val="AD4A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B5D0E"/>
    <w:multiLevelType w:val="hybridMultilevel"/>
    <w:tmpl w:val="BCC0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B1993"/>
    <w:multiLevelType w:val="hybridMultilevel"/>
    <w:tmpl w:val="844A8564"/>
    <w:lvl w:ilvl="0" w:tplc="19CCFCD2">
      <w:start w:val="7"/>
      <w:numFmt w:val="decimal"/>
      <w:lvlText w:val="%1."/>
      <w:lvlJc w:val="center"/>
      <w:pPr>
        <w:ind w:left="927"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7"/>
  </w:num>
  <w:num w:numId="5">
    <w:abstractNumId w:val="4"/>
  </w:num>
  <w:num w:numId="6">
    <w:abstractNumId w:val="2"/>
  </w:num>
  <w:num w:numId="7">
    <w:abstractNumId w:val="3"/>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2F"/>
    <w:rsid w:val="00077001"/>
    <w:rsid w:val="00111F4D"/>
    <w:rsid w:val="00121CEF"/>
    <w:rsid w:val="00135579"/>
    <w:rsid w:val="001357EF"/>
    <w:rsid w:val="00203BF8"/>
    <w:rsid w:val="00397B6D"/>
    <w:rsid w:val="003E27D2"/>
    <w:rsid w:val="0044095F"/>
    <w:rsid w:val="00441201"/>
    <w:rsid w:val="004B472B"/>
    <w:rsid w:val="004E4F34"/>
    <w:rsid w:val="00580E0A"/>
    <w:rsid w:val="006D77C0"/>
    <w:rsid w:val="007461FF"/>
    <w:rsid w:val="00763001"/>
    <w:rsid w:val="007655E6"/>
    <w:rsid w:val="00770878"/>
    <w:rsid w:val="007E5E68"/>
    <w:rsid w:val="00805F07"/>
    <w:rsid w:val="00826D6D"/>
    <w:rsid w:val="008A1058"/>
    <w:rsid w:val="00914C61"/>
    <w:rsid w:val="00960FE9"/>
    <w:rsid w:val="00997FCC"/>
    <w:rsid w:val="009C04C0"/>
    <w:rsid w:val="009D4E64"/>
    <w:rsid w:val="009E40DE"/>
    <w:rsid w:val="00A2306E"/>
    <w:rsid w:val="00A938A7"/>
    <w:rsid w:val="00AD5A6C"/>
    <w:rsid w:val="00BB0660"/>
    <w:rsid w:val="00BB2676"/>
    <w:rsid w:val="00BD1E3B"/>
    <w:rsid w:val="00BF5FFE"/>
    <w:rsid w:val="00C6452F"/>
    <w:rsid w:val="00C80A53"/>
    <w:rsid w:val="00E80F1C"/>
    <w:rsid w:val="00EB7BF8"/>
    <w:rsid w:val="00FA3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2E002-D265-44BA-A23B-7951557E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5E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52F"/>
    <w:pPr>
      <w:ind w:left="720"/>
    </w:pPr>
    <w:rPr>
      <w:rFonts w:ascii="Calibri" w:eastAsia="Times New Roman" w:hAnsi="Calibri" w:cs="Calibri"/>
      <w:lang w:eastAsia="en-US"/>
    </w:rPr>
  </w:style>
  <w:style w:type="paragraph" w:styleId="BalloonText">
    <w:name w:val="Balloon Text"/>
    <w:basedOn w:val="Normal"/>
    <w:link w:val="BalloonTextChar"/>
    <w:uiPriority w:val="99"/>
    <w:semiHidden/>
    <w:unhideWhenUsed/>
    <w:rsid w:val="007E5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68"/>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3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Llewellyn</dc:creator>
  <cp:keywords/>
  <dc:description/>
  <cp:lastModifiedBy>Jane Llewellyn</cp:lastModifiedBy>
  <cp:revision>2</cp:revision>
  <cp:lastPrinted>2015-07-02T12:01:00Z</cp:lastPrinted>
  <dcterms:created xsi:type="dcterms:W3CDTF">2015-07-02T14:11:00Z</dcterms:created>
  <dcterms:modified xsi:type="dcterms:W3CDTF">2015-07-02T14:11:00Z</dcterms:modified>
</cp:coreProperties>
</file>